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60"/>
        <w:ind w:left="2393" w:hanging="2386" w:hangingChars="993"/>
        <w:rPr>
          <w:rFonts w:ascii="Arial" w:hAnsi="Arial" w:eastAsia="等线" w:cs="Arial"/>
          <w:b/>
          <w:szCs w:val="24"/>
          <w:lang w:eastAsia="zh-CN"/>
        </w:rPr>
      </w:pPr>
      <w:r>
        <w:rPr>
          <w:rFonts w:ascii="Arial" w:hAnsi="Arial" w:eastAsia="宋体" w:cs="Arial"/>
          <w:b/>
          <w:szCs w:val="24"/>
          <w:lang w:eastAsia="zh-CN"/>
        </w:rPr>
        <w:t>3GPP TSG-RAN WG4 Meeting #110</w:t>
      </w:r>
      <w:r>
        <w:rPr>
          <w:rFonts w:ascii="Arial" w:hAnsi="Arial" w:eastAsia="等线" w:cs="Arial"/>
          <w:b/>
          <w:szCs w:val="24"/>
          <w:lang w:eastAsia="zh-CN"/>
        </w:rPr>
        <w:t xml:space="preserve"> </w:t>
      </w:r>
      <w:r>
        <w:rPr>
          <w:rFonts w:ascii="Arial" w:hAnsi="Arial" w:eastAsia="等线" w:cs="Arial"/>
          <w:b/>
          <w:szCs w:val="24"/>
          <w:lang w:eastAsia="zh-CN"/>
        </w:rPr>
        <w:tab/>
      </w:r>
      <w:r>
        <w:rPr>
          <w:rFonts w:ascii="Arial" w:hAnsi="Arial" w:eastAsia="等线" w:cs="Arial"/>
          <w:b/>
          <w:szCs w:val="24"/>
          <w:lang w:eastAsia="zh-CN"/>
        </w:rPr>
        <w:tab/>
      </w:r>
      <w:r>
        <w:rPr>
          <w:rFonts w:ascii="Arial" w:hAnsi="Arial" w:eastAsia="等线" w:cs="Arial"/>
          <w:b/>
          <w:szCs w:val="24"/>
          <w:lang w:eastAsia="zh-CN"/>
        </w:rPr>
        <w:tab/>
      </w:r>
      <w:bookmarkStart w:id="0" w:name="_GoBack"/>
      <w:bookmarkEnd w:id="0"/>
      <w:r>
        <w:rPr>
          <w:rFonts w:ascii="Arial" w:hAnsi="Arial" w:eastAsia="等线" w:cs="Arial"/>
          <w:b/>
          <w:szCs w:val="24"/>
          <w:lang w:eastAsia="zh-CN"/>
        </w:rPr>
        <w:tab/>
      </w:r>
      <w:r>
        <w:rPr>
          <w:rFonts w:ascii="Arial" w:hAnsi="Arial" w:eastAsia="等线" w:cs="Arial"/>
          <w:b/>
          <w:szCs w:val="24"/>
          <w:lang w:eastAsia="zh-CN"/>
        </w:rPr>
        <w:tab/>
      </w:r>
      <w:r>
        <w:rPr>
          <w:rFonts w:hint="eastAsia" w:ascii="Arial" w:hAnsi="Arial" w:eastAsia="等线" w:cs="Arial"/>
          <w:b/>
          <w:szCs w:val="24"/>
          <w:lang w:eastAsia="zh-CN"/>
        </w:rPr>
        <w:t xml:space="preserve">                  </w:t>
      </w:r>
      <w:r>
        <w:rPr>
          <w:rFonts w:hint="eastAsia" w:ascii="Arial" w:hAnsi="Arial" w:eastAsia="等线" w:cs="Arial"/>
          <w:b/>
          <w:szCs w:val="24"/>
          <w:highlight w:val="none"/>
          <w:lang w:eastAsia="zh-CN"/>
        </w:rPr>
        <w:t>R4-2400219</w:t>
      </w:r>
    </w:p>
    <w:p>
      <w:pPr>
        <w:snapToGrid w:val="0"/>
        <w:spacing w:after="60"/>
        <w:ind w:left="2108" w:hanging="2102" w:hangingChars="875"/>
        <w:rPr>
          <w:rFonts w:ascii="Arial" w:hAnsi="Arial" w:eastAsia="等线" w:cs="Arial"/>
          <w:b/>
          <w:szCs w:val="24"/>
          <w:lang w:eastAsia="zh-CN"/>
        </w:rPr>
      </w:pPr>
      <w:r>
        <w:rPr>
          <w:rFonts w:ascii="Arial" w:hAnsi="Arial"/>
          <w:b/>
          <w:lang w:eastAsia="zh-CN"/>
        </w:rPr>
        <w:t>Athens, GR, 26 Feb - 01 Mar, 2024</w:t>
      </w:r>
    </w:p>
    <w:p>
      <w:pPr>
        <w:tabs>
          <w:tab w:val="left" w:pos="3106"/>
          <w:tab w:val="center" w:pos="4536"/>
          <w:tab w:val="right" w:pos="9072"/>
        </w:tabs>
        <w:spacing w:line="252" w:lineRule="auto"/>
        <w:jc w:val="both"/>
        <w:rPr>
          <w:rFonts w:ascii="Arial" w:hAnsi="Arial" w:eastAsia="宋体"/>
          <w:b/>
          <w:lang w:eastAsia="zh-CN"/>
        </w:rPr>
      </w:pPr>
    </w:p>
    <w:p>
      <w:pPr>
        <w:tabs>
          <w:tab w:val="left" w:pos="1800"/>
          <w:tab w:val="right" w:pos="9072"/>
        </w:tabs>
        <w:spacing w:after="60" w:line="252" w:lineRule="auto"/>
        <w:ind w:left="1800" w:hanging="1800"/>
        <w:jc w:val="both"/>
        <w:rPr>
          <w:rFonts w:ascii="Arial" w:hAnsi="Arial" w:eastAsia="宋体"/>
          <w:b/>
          <w:szCs w:val="24"/>
          <w:lang w:val="zh-CN" w:eastAsia="zh-CN"/>
        </w:rPr>
      </w:pPr>
      <w:r>
        <w:rPr>
          <w:rFonts w:ascii="Arial" w:hAnsi="Arial" w:eastAsia="MS Mincho"/>
          <w:b/>
          <w:szCs w:val="24"/>
          <w:lang w:val="zh-CN" w:eastAsia="en-US"/>
        </w:rPr>
        <w:t>Source:</w:t>
      </w:r>
      <w:r>
        <w:rPr>
          <w:rFonts w:ascii="Arial" w:hAnsi="Arial" w:eastAsia="MS Mincho"/>
          <w:b/>
          <w:szCs w:val="24"/>
          <w:lang w:val="zh-CN" w:eastAsia="en-US"/>
        </w:rPr>
        <w:tab/>
      </w:r>
      <w:r>
        <w:rPr>
          <w:rFonts w:hint="eastAsia" w:ascii="Arial" w:hAnsi="Arial" w:eastAsia="宋体"/>
          <w:b/>
          <w:szCs w:val="24"/>
          <w:lang w:val="zh-CN" w:eastAsia="zh-CN"/>
        </w:rPr>
        <w:t>China Telecom</w:t>
      </w:r>
    </w:p>
    <w:p>
      <w:pPr>
        <w:tabs>
          <w:tab w:val="left" w:pos="1800"/>
          <w:tab w:val="left" w:pos="6180"/>
        </w:tabs>
        <w:spacing w:after="60" w:line="252" w:lineRule="auto"/>
        <w:ind w:left="1800" w:hanging="1802" w:hangingChars="750"/>
        <w:rPr>
          <w:rFonts w:ascii="Arial" w:hAnsi="Arial" w:eastAsiaTheme="minorEastAsia"/>
          <w:b/>
          <w:szCs w:val="24"/>
          <w:lang w:val="en-US" w:eastAsia="zh-CN"/>
        </w:rPr>
      </w:pPr>
      <w:r>
        <w:rPr>
          <w:rFonts w:ascii="Arial" w:hAnsi="Arial" w:eastAsia="MS Mincho"/>
          <w:b/>
          <w:szCs w:val="24"/>
          <w:lang w:val="zh-CN" w:eastAsia="en-US"/>
        </w:rPr>
        <w:t>Title:</w:t>
      </w:r>
      <w:r>
        <w:rPr>
          <w:rFonts w:ascii="Arial" w:hAnsi="Arial" w:eastAsia="MS Mincho"/>
          <w:b/>
          <w:szCs w:val="24"/>
          <w:lang w:val="zh-CN" w:eastAsia="en-US"/>
        </w:rPr>
        <w:tab/>
      </w:r>
      <w:r>
        <w:rPr>
          <w:rFonts w:ascii="Arial" w:hAnsi="Arial" w:eastAsia="MS Mincho"/>
          <w:b/>
          <w:szCs w:val="24"/>
          <w:lang w:val="zh-CN" w:eastAsia="en-US"/>
        </w:rPr>
        <w:t>On NTN mobility and service continuity enhancements</w:t>
      </w:r>
    </w:p>
    <w:p>
      <w:pPr>
        <w:tabs>
          <w:tab w:val="left" w:pos="1800"/>
          <w:tab w:val="left" w:pos="6835"/>
        </w:tabs>
        <w:spacing w:after="60" w:line="252" w:lineRule="auto"/>
        <w:jc w:val="both"/>
        <w:rPr>
          <w:rFonts w:ascii="Arial" w:hAnsi="Arial" w:eastAsia="宋体"/>
          <w:b/>
          <w:szCs w:val="24"/>
          <w:lang w:val="zh-CN" w:eastAsia="zh-CN"/>
        </w:rPr>
      </w:pPr>
      <w:r>
        <w:rPr>
          <w:rFonts w:ascii="Arial" w:hAnsi="Arial" w:eastAsia="MS Mincho"/>
          <w:b/>
          <w:szCs w:val="24"/>
          <w:lang w:val="zh-CN" w:eastAsia="en-US"/>
        </w:rPr>
        <w:t>Agenda Item:</w:t>
      </w:r>
      <w:r>
        <w:rPr>
          <w:rFonts w:ascii="Arial" w:hAnsi="Arial" w:eastAsia="MS Mincho"/>
          <w:b/>
          <w:szCs w:val="24"/>
          <w:lang w:val="zh-CN" w:eastAsia="en-US"/>
        </w:rPr>
        <w:tab/>
      </w:r>
      <w:r>
        <w:rPr>
          <w:rFonts w:hint="eastAsia" w:ascii="Arial" w:hAnsi="Arial" w:eastAsia="MS Mincho"/>
          <w:b/>
          <w:szCs w:val="24"/>
          <w:lang w:val="zh-CN" w:eastAsia="en-US"/>
        </w:rPr>
        <w:t>8.18.6.3</w:t>
      </w:r>
    </w:p>
    <w:p>
      <w:pPr>
        <w:tabs>
          <w:tab w:val="left" w:pos="1800"/>
          <w:tab w:val="center" w:pos="4536"/>
          <w:tab w:val="right" w:pos="9072"/>
        </w:tabs>
        <w:snapToGrid w:val="0"/>
        <w:spacing w:after="240" w:line="252" w:lineRule="auto"/>
        <w:jc w:val="both"/>
        <w:rPr>
          <w:rFonts w:ascii="Arial" w:hAnsi="Arial" w:eastAsia="宋体"/>
          <w:b/>
          <w:szCs w:val="24"/>
          <w:lang w:val="zh-CN" w:eastAsia="zh-CN"/>
        </w:rPr>
      </w:pPr>
      <w:r>
        <w:rPr>
          <w:rFonts w:ascii="Arial" w:hAnsi="Arial" w:eastAsia="MS Mincho"/>
          <w:b/>
          <w:szCs w:val="24"/>
          <w:lang w:val="zh-CN" w:eastAsia="en-US"/>
        </w:rPr>
        <w:t>Document for:</w:t>
      </w:r>
      <w:r>
        <w:rPr>
          <w:rFonts w:ascii="Arial" w:hAnsi="Arial" w:eastAsia="MS Mincho"/>
          <w:b/>
          <w:szCs w:val="24"/>
          <w:lang w:val="zh-CN" w:eastAsia="en-US"/>
        </w:rPr>
        <w:tab/>
      </w:r>
      <w:r>
        <w:rPr>
          <w:rFonts w:hint="eastAsia" w:ascii="Arial" w:hAnsi="Arial" w:eastAsia="宋体"/>
          <w:b/>
          <w:szCs w:val="24"/>
          <w:lang w:val="zh-CN" w:eastAsia="zh-CN"/>
        </w:rPr>
        <w:t>Discussion</w:t>
      </w:r>
    </w:p>
    <w:p>
      <w:pPr>
        <w:keepNext/>
        <w:widowControl w:val="0"/>
        <w:numPr>
          <w:ilvl w:val="0"/>
          <w:numId w:val="4"/>
        </w:numPr>
        <w:pBdr>
          <w:top w:val="single" w:color="auto" w:sz="12" w:space="1"/>
        </w:pBdr>
        <w:tabs>
          <w:tab w:val="left" w:pos="426"/>
        </w:tabs>
        <w:adjustRightInd w:val="0"/>
        <w:snapToGrid w:val="0"/>
        <w:spacing w:before="489" w:beforeLines="150" w:after="163" w:afterLines="50" w:line="252" w:lineRule="auto"/>
        <w:jc w:val="both"/>
        <w:textAlignment w:val="baseline"/>
        <w:outlineLvl w:val="0"/>
        <w:rPr>
          <w:rFonts w:ascii="Helvetica" w:hAnsi="Helvetica" w:eastAsia="宋体"/>
          <w:b/>
          <w:bCs/>
          <w:kern w:val="32"/>
          <w:sz w:val="28"/>
          <w:szCs w:val="32"/>
          <w:lang w:val="zh-CN" w:eastAsia="zh-CN"/>
        </w:rPr>
      </w:pPr>
      <w:r>
        <w:rPr>
          <w:rFonts w:ascii="Helvetica" w:hAnsi="Helvetica" w:eastAsia="宋体"/>
          <w:b/>
          <w:bCs/>
          <w:kern w:val="32"/>
          <w:sz w:val="28"/>
          <w:szCs w:val="32"/>
          <w:lang w:val="zh-CN" w:eastAsia="zh-CN"/>
        </w:rPr>
        <w:t>Introduction</w:t>
      </w:r>
    </w:p>
    <w:p>
      <w:pPr>
        <w:pStyle w:val="12"/>
        <w:tabs>
          <w:tab w:val="left" w:pos="226"/>
          <w:tab w:val="left" w:pos="284"/>
          <w:tab w:val="left" w:pos="5103"/>
        </w:tabs>
        <w:snapToGrid w:val="0"/>
        <w:rPr>
          <w:rFonts w:eastAsia="宋体"/>
          <w:sz w:val="21"/>
          <w:szCs w:val="21"/>
          <w:lang w:val="en-GB" w:eastAsia="zh-CN"/>
        </w:rPr>
      </w:pPr>
      <w:r>
        <w:rPr>
          <w:rFonts w:eastAsia="宋体"/>
          <w:sz w:val="21"/>
          <w:szCs w:val="21"/>
          <w:lang w:eastAsia="zh-CN"/>
        </w:rPr>
        <w:t>In RAN4 #109, the progress for RRM requirements of NTN mobility enhancements are summarized in the WF [1]</w:t>
      </w:r>
      <w:r>
        <w:rPr>
          <w:rFonts w:eastAsia="宋体"/>
          <w:sz w:val="21"/>
          <w:szCs w:val="21"/>
          <w:lang w:val="en-GB" w:eastAsia="zh-CN"/>
        </w:rPr>
        <w:t xml:space="preserve">. This contribution discusses some of the open issues. </w:t>
      </w:r>
    </w:p>
    <w:p>
      <w:pPr>
        <w:keepNext/>
        <w:widowControl w:val="0"/>
        <w:numPr>
          <w:ilvl w:val="0"/>
          <w:numId w:val="4"/>
        </w:numPr>
        <w:pBdr>
          <w:top w:val="single" w:color="auto" w:sz="12" w:space="1"/>
        </w:pBdr>
        <w:tabs>
          <w:tab w:val="left" w:pos="426"/>
        </w:tabs>
        <w:adjustRightInd w:val="0"/>
        <w:snapToGrid w:val="0"/>
        <w:spacing w:before="489" w:beforeLines="150" w:after="163" w:afterLines="50" w:line="252" w:lineRule="auto"/>
        <w:jc w:val="both"/>
        <w:textAlignment w:val="baseline"/>
        <w:outlineLvl w:val="0"/>
        <w:rPr>
          <w:rFonts w:ascii="Helvetica" w:hAnsi="Helvetica" w:eastAsia="宋体"/>
          <w:b/>
          <w:bCs/>
          <w:kern w:val="32"/>
          <w:sz w:val="28"/>
          <w:szCs w:val="32"/>
          <w:lang w:val="zh-CN" w:eastAsia="zh-CN"/>
        </w:rPr>
      </w:pPr>
      <w:r>
        <w:rPr>
          <w:rFonts w:hint="eastAsia" w:ascii="Helvetica" w:hAnsi="Helvetica" w:eastAsia="宋体"/>
          <w:b/>
          <w:bCs/>
          <w:kern w:val="32"/>
          <w:sz w:val="28"/>
          <w:szCs w:val="32"/>
          <w:lang w:val="zh-CN" w:eastAsia="zh-CN"/>
        </w:rPr>
        <w:t>Discussion</w:t>
      </w:r>
    </w:p>
    <w:p>
      <w:pPr>
        <w:snapToGrid w:val="0"/>
        <w:spacing w:after="120"/>
        <w:outlineLvl w:val="2"/>
        <w:rPr>
          <w:rFonts w:eastAsia="等线"/>
          <w:b/>
          <w:sz w:val="21"/>
          <w:szCs w:val="21"/>
          <w:u w:val="single"/>
          <w:lang w:eastAsia="ko-KR"/>
        </w:rPr>
      </w:pPr>
      <w:r>
        <w:rPr>
          <w:rFonts w:eastAsia="等线"/>
          <w:b/>
          <w:sz w:val="21"/>
          <w:szCs w:val="21"/>
          <w:u w:val="single"/>
          <w:lang w:eastAsia="ko-KR"/>
        </w:rPr>
        <w:t>Idle/Inactive mode: NTN to NTN time-based measurement initiation for cell reselection in earth-moving cell</w:t>
      </w:r>
    </w:p>
    <w:p>
      <w:pPr>
        <w:pStyle w:val="12"/>
        <w:tabs>
          <w:tab w:val="left" w:pos="226"/>
          <w:tab w:val="left" w:pos="284"/>
          <w:tab w:val="left" w:pos="5103"/>
        </w:tabs>
        <w:snapToGrid w:val="0"/>
        <w:rPr>
          <w:sz w:val="21"/>
          <w:szCs w:val="21"/>
          <w:lang w:val="fr-FR" w:eastAsia="ja-JP"/>
        </w:rPr>
      </w:pPr>
      <w:r>
        <w:rPr>
          <w:sz w:val="21"/>
          <w:szCs w:val="21"/>
          <w:lang w:val="fr-FR" w:eastAsia="ja-JP"/>
        </w:rPr>
        <w:t>The following was captured in the WF:</w:t>
      </w:r>
    </w:p>
    <w:p>
      <w:pPr>
        <w:snapToGrid w:val="0"/>
        <w:spacing w:after="120"/>
        <w:ind w:firstLine="284"/>
        <w:rPr>
          <w:rFonts w:eastAsia="等线"/>
          <w:b/>
          <w:bCs/>
          <w:i/>
          <w:sz w:val="21"/>
          <w:szCs w:val="21"/>
          <w:u w:val="single"/>
        </w:rPr>
      </w:pPr>
      <w:r>
        <w:rPr>
          <w:rFonts w:eastAsia="等线"/>
          <w:b/>
          <w:bCs/>
          <w:i/>
          <w:sz w:val="21"/>
          <w:szCs w:val="21"/>
          <w:u w:val="single"/>
        </w:rPr>
        <w:t>FFS:</w:t>
      </w:r>
    </w:p>
    <w:p>
      <w:pPr>
        <w:numPr>
          <w:ilvl w:val="0"/>
          <w:numId w:val="5"/>
        </w:numPr>
        <w:overflowPunct w:val="0"/>
        <w:autoSpaceDE w:val="0"/>
        <w:autoSpaceDN w:val="0"/>
        <w:adjustRightInd w:val="0"/>
        <w:snapToGrid w:val="0"/>
        <w:spacing w:after="120"/>
        <w:ind w:left="644"/>
        <w:textAlignment w:val="baseline"/>
        <w:rPr>
          <w:rFonts w:eastAsia="MS Mincho"/>
          <w:i/>
          <w:sz w:val="21"/>
          <w:szCs w:val="21"/>
        </w:rPr>
      </w:pPr>
      <w:r>
        <w:rPr>
          <w:rFonts w:eastAsia="MS Mincho"/>
          <w:i/>
          <w:sz w:val="21"/>
          <w:szCs w:val="21"/>
        </w:rPr>
        <w:t xml:space="preserve">For time-based NTN to NTN cell reselection in earth-moving cell, the existing RRC idle/inactive mode requirements (4.2C and 5.1C) referring to ‘t-service’ can be reused. </w:t>
      </w:r>
    </w:p>
    <w:p>
      <w:pPr>
        <w:numPr>
          <w:ilvl w:val="1"/>
          <w:numId w:val="5"/>
        </w:numPr>
        <w:overflowPunct w:val="0"/>
        <w:autoSpaceDE w:val="0"/>
        <w:autoSpaceDN w:val="0"/>
        <w:adjustRightInd w:val="0"/>
        <w:snapToGrid w:val="0"/>
        <w:spacing w:after="120"/>
        <w:ind w:left="1080"/>
        <w:textAlignment w:val="baseline"/>
        <w:rPr>
          <w:rFonts w:eastAsia="MS Mincho"/>
          <w:i/>
          <w:sz w:val="21"/>
          <w:szCs w:val="21"/>
        </w:rPr>
      </w:pPr>
      <w:r>
        <w:rPr>
          <w:rFonts w:eastAsia="MS Mincho"/>
          <w:i/>
          <w:sz w:val="21"/>
          <w:szCs w:val="21"/>
        </w:rPr>
        <w:t>FFS any necessary modification can be considered for the earth moving scenario. Opiton for consideration:</w:t>
      </w:r>
    </w:p>
    <w:p>
      <w:pPr>
        <w:numPr>
          <w:ilvl w:val="1"/>
          <w:numId w:val="5"/>
        </w:numPr>
        <w:overflowPunct w:val="0"/>
        <w:autoSpaceDE w:val="0"/>
        <w:autoSpaceDN w:val="0"/>
        <w:adjustRightInd w:val="0"/>
        <w:snapToGrid w:val="0"/>
        <w:spacing w:after="120"/>
        <w:ind w:left="1364"/>
        <w:textAlignment w:val="baseline"/>
        <w:rPr>
          <w:rFonts w:eastAsia="MS Mincho"/>
          <w:i/>
          <w:sz w:val="21"/>
          <w:szCs w:val="21"/>
        </w:rPr>
      </w:pPr>
      <w:r>
        <w:rPr>
          <w:rFonts w:hint="eastAsia" w:eastAsia="MS Mincho"/>
          <w:i/>
          <w:sz w:val="21"/>
          <w:szCs w:val="21"/>
          <w:lang w:eastAsia="en-US"/>
        </w:rPr>
        <w:t>O</w:t>
      </w:r>
      <w:r>
        <w:rPr>
          <w:rFonts w:eastAsia="MS Mincho"/>
          <w:i/>
          <w:sz w:val="21"/>
          <w:szCs w:val="21"/>
          <w:lang w:eastAsia="en-US"/>
        </w:rPr>
        <w:t>ption A: remove the following condition:</w:t>
      </w:r>
    </w:p>
    <w:p>
      <w:pPr>
        <w:numPr>
          <w:ilvl w:val="2"/>
          <w:numId w:val="5"/>
        </w:numPr>
        <w:overflowPunct w:val="0"/>
        <w:autoSpaceDE w:val="0"/>
        <w:autoSpaceDN w:val="0"/>
        <w:adjustRightInd w:val="0"/>
        <w:snapToGrid w:val="0"/>
        <w:spacing w:after="120"/>
        <w:ind w:left="1800"/>
        <w:textAlignment w:val="baseline"/>
        <w:rPr>
          <w:rFonts w:eastAsia="MS Mincho"/>
          <w:i/>
          <w:sz w:val="21"/>
          <w:szCs w:val="21"/>
        </w:rPr>
      </w:pPr>
      <w:r>
        <w:rPr>
          <w:rFonts w:eastAsia="MS Mincho"/>
          <w:i/>
          <w:sz w:val="21"/>
          <w:szCs w:val="21"/>
        </w:rPr>
        <w:t>UE shall start measurement of the neigbhor cells indicated by the serving cell before t-Service is reached according to the requirements</w:t>
      </w:r>
    </w:p>
    <w:p>
      <w:pPr>
        <w:numPr>
          <w:ilvl w:val="2"/>
          <w:numId w:val="5"/>
        </w:numPr>
        <w:overflowPunct w:val="0"/>
        <w:autoSpaceDE w:val="0"/>
        <w:autoSpaceDN w:val="0"/>
        <w:adjustRightInd w:val="0"/>
        <w:snapToGrid w:val="0"/>
        <w:spacing w:after="120"/>
        <w:ind w:left="1800"/>
        <w:textAlignment w:val="baseline"/>
        <w:rPr>
          <w:rFonts w:eastAsia="MS Mincho"/>
          <w:i/>
          <w:sz w:val="21"/>
          <w:szCs w:val="21"/>
        </w:rPr>
      </w:pPr>
      <w:r>
        <w:rPr>
          <w:rFonts w:eastAsia="MS Mincho"/>
          <w:i/>
          <w:sz w:val="21"/>
          <w:szCs w:val="21"/>
        </w:rPr>
        <w:t>UE shall be able to detect, measure, and evaluate neighbour cells before the serving cell stops serving the area regardless of whether the distance condition based on serving cell reference location or the legacy Srxlev/Squal condition are met.</w:t>
      </w:r>
    </w:p>
    <w:p>
      <w:pPr>
        <w:pStyle w:val="12"/>
        <w:tabs>
          <w:tab w:val="left" w:pos="226"/>
          <w:tab w:val="left" w:pos="284"/>
          <w:tab w:val="left" w:pos="5103"/>
        </w:tabs>
        <w:snapToGrid w:val="0"/>
        <w:rPr>
          <w:sz w:val="21"/>
          <w:szCs w:val="21"/>
          <w:lang w:val="fr-FR" w:eastAsia="ja-JP"/>
        </w:rPr>
      </w:pPr>
      <w:r>
        <w:rPr>
          <w:sz w:val="21"/>
          <w:szCs w:val="21"/>
          <w:lang w:val="fr-FR" w:eastAsia="ja-JP"/>
        </w:rPr>
        <w:t xml:space="preserve">For time-based NTN to NTN cell reselection in earth-moving cell, we support to reuse the existing RRC idle/inactive mode requirements (4.2C and 5.1C) referring to ‘t-service’. As companies commented in the previous meeting, the t-service is configured by the network and the network’s responsibility to do the correct configuration based on the scenario. Also, we don’t see any benefits or difference on the </w:t>
      </w:r>
      <w:r>
        <w:rPr>
          <w:lang w:eastAsia="ja-JP"/>
        </w:rPr>
        <w:t xml:space="preserve">neighbour cell measurement </w:t>
      </w:r>
      <w:r>
        <w:rPr>
          <w:sz w:val="21"/>
          <w:szCs w:val="21"/>
          <w:lang w:val="fr-FR" w:eastAsia="ja-JP"/>
        </w:rPr>
        <w:t>if additional assistance information is introudced.</w:t>
      </w:r>
    </w:p>
    <w:p>
      <w:pPr>
        <w:pStyle w:val="12"/>
        <w:tabs>
          <w:tab w:val="left" w:pos="226"/>
          <w:tab w:val="left" w:pos="284"/>
          <w:tab w:val="left" w:pos="5103"/>
        </w:tabs>
        <w:snapToGrid w:val="0"/>
        <w:rPr>
          <w:i/>
          <w:sz w:val="21"/>
          <w:szCs w:val="21"/>
          <w:u w:val="single"/>
          <w:lang w:val="en-GB" w:eastAsia="ja-JP"/>
        </w:rPr>
      </w:pPr>
      <w:r>
        <w:rPr>
          <w:rFonts w:hint="eastAsia" w:eastAsiaTheme="minorEastAsia"/>
          <w:b/>
          <w:i/>
          <w:sz w:val="21"/>
          <w:szCs w:val="21"/>
          <w:u w:val="single"/>
          <w:lang w:val="en-GB" w:eastAsia="zh-CN"/>
        </w:rPr>
        <w:t>P</w:t>
      </w:r>
      <w:r>
        <w:rPr>
          <w:rFonts w:eastAsiaTheme="minorEastAsia"/>
          <w:b/>
          <w:i/>
          <w:sz w:val="21"/>
          <w:szCs w:val="21"/>
          <w:u w:val="single"/>
          <w:lang w:val="en-GB" w:eastAsia="zh-CN"/>
        </w:rPr>
        <w:t xml:space="preserve">roposal 1: </w:t>
      </w:r>
      <w:r>
        <w:rPr>
          <w:i/>
          <w:sz w:val="21"/>
          <w:szCs w:val="21"/>
          <w:u w:val="single"/>
          <w:lang w:val="en-GB" w:eastAsia="ja-JP"/>
        </w:rPr>
        <w:t>For time-based NTN to NTN cell reselection in earth-moving cell, the existing RRC idle/inactive mode requirements (4.2C and 5.1C) referring to ‘t-service’ can be reused.</w:t>
      </w:r>
    </w:p>
    <w:p>
      <w:pPr>
        <w:pStyle w:val="12"/>
        <w:tabs>
          <w:tab w:val="left" w:pos="226"/>
          <w:tab w:val="left" w:pos="284"/>
          <w:tab w:val="left" w:pos="5103"/>
        </w:tabs>
        <w:snapToGrid w:val="0"/>
        <w:rPr>
          <w:i/>
          <w:sz w:val="21"/>
          <w:szCs w:val="21"/>
          <w:lang w:val="en-GB" w:eastAsia="ja-JP"/>
        </w:rPr>
      </w:pPr>
    </w:p>
    <w:p>
      <w:pPr>
        <w:snapToGrid w:val="0"/>
        <w:spacing w:after="120"/>
        <w:outlineLvl w:val="2"/>
        <w:rPr>
          <w:rFonts w:eastAsia="等线"/>
          <w:b/>
          <w:sz w:val="21"/>
          <w:szCs w:val="21"/>
          <w:u w:val="single"/>
          <w:lang w:eastAsia="ko-KR"/>
        </w:rPr>
      </w:pPr>
      <w:r>
        <w:rPr>
          <w:rFonts w:eastAsia="等线"/>
          <w:b/>
          <w:sz w:val="21"/>
          <w:szCs w:val="21"/>
          <w:u w:val="single"/>
          <w:lang w:eastAsia="ko-KR"/>
        </w:rPr>
        <w:t>Connected mode mobility: Starting point of the interruption time for soft satellite switch without PCI change</w:t>
      </w:r>
    </w:p>
    <w:p>
      <w:pPr>
        <w:pStyle w:val="12"/>
        <w:tabs>
          <w:tab w:val="left" w:pos="226"/>
          <w:tab w:val="left" w:pos="284"/>
          <w:tab w:val="left" w:pos="5103"/>
        </w:tabs>
        <w:snapToGrid w:val="0"/>
        <w:rPr>
          <w:sz w:val="21"/>
          <w:szCs w:val="21"/>
          <w:lang w:val="fr-FR" w:eastAsia="ja-JP"/>
        </w:rPr>
      </w:pPr>
      <w:r>
        <w:rPr>
          <w:sz w:val="21"/>
          <w:szCs w:val="21"/>
          <w:lang w:val="fr-FR" w:eastAsia="ja-JP"/>
        </w:rPr>
        <w:t>Two options were proposed in the last meeting:</w:t>
      </w:r>
    </w:p>
    <w:p>
      <w:pPr>
        <w:pStyle w:val="35"/>
        <w:numPr>
          <w:ilvl w:val="0"/>
          <w:numId w:val="5"/>
        </w:numPr>
        <w:snapToGrid w:val="0"/>
        <w:spacing w:after="120"/>
        <w:ind w:left="644" w:hanging="357" w:firstLineChars="0"/>
        <w:rPr>
          <w:i/>
          <w:lang w:eastAsia="ja-JP"/>
        </w:rPr>
      </w:pPr>
      <w:r>
        <w:rPr>
          <w:i/>
          <w:lang w:eastAsia="ja-JP"/>
        </w:rPr>
        <w:t>For soft satellite switch without PCI change,</w:t>
      </w:r>
    </w:p>
    <w:p>
      <w:pPr>
        <w:pStyle w:val="35"/>
        <w:numPr>
          <w:ilvl w:val="1"/>
          <w:numId w:val="5"/>
        </w:numPr>
        <w:snapToGrid w:val="0"/>
        <w:spacing w:after="120"/>
        <w:ind w:left="1364" w:hanging="357" w:firstLineChars="0"/>
        <w:rPr>
          <w:i/>
          <w:lang w:eastAsia="ja-JP"/>
        </w:rPr>
      </w:pPr>
      <w:r>
        <w:rPr>
          <w:i/>
          <w:lang w:eastAsia="ja-JP"/>
        </w:rPr>
        <w:t>Starting point of the interruption time:</w:t>
      </w:r>
    </w:p>
    <w:p>
      <w:pPr>
        <w:pStyle w:val="35"/>
        <w:numPr>
          <w:ilvl w:val="2"/>
          <w:numId w:val="5"/>
        </w:numPr>
        <w:snapToGrid w:val="0"/>
        <w:spacing w:after="120"/>
        <w:ind w:left="2084" w:hanging="357" w:firstLineChars="0"/>
        <w:rPr>
          <w:i/>
          <w:lang w:eastAsia="ja-JP"/>
        </w:rPr>
      </w:pPr>
      <w:r>
        <w:rPr>
          <w:i/>
          <w:lang w:eastAsia="ja-JP"/>
        </w:rPr>
        <w:t>Option 1: between t-Start and t-Service, and the exact starting time is up to UE implementation.</w:t>
      </w:r>
    </w:p>
    <w:p>
      <w:pPr>
        <w:pStyle w:val="35"/>
        <w:numPr>
          <w:ilvl w:val="2"/>
          <w:numId w:val="5"/>
        </w:numPr>
        <w:snapToGrid w:val="0"/>
        <w:spacing w:after="120"/>
        <w:ind w:left="2084" w:hanging="357" w:firstLineChars="0"/>
        <w:rPr>
          <w:i/>
          <w:lang w:eastAsia="ja-JP"/>
        </w:rPr>
      </w:pPr>
      <w:r>
        <w:rPr>
          <w:i/>
          <w:lang w:eastAsia="ja-JP"/>
        </w:rPr>
        <w:t>Option 2: t-Service</w:t>
      </w:r>
    </w:p>
    <w:p>
      <w:pPr>
        <w:pStyle w:val="12"/>
        <w:tabs>
          <w:tab w:val="left" w:pos="226"/>
          <w:tab w:val="left" w:pos="284"/>
          <w:tab w:val="left" w:pos="5103"/>
        </w:tabs>
        <w:snapToGrid w:val="0"/>
        <w:rPr>
          <w:rFonts w:eastAsiaTheme="minorEastAsia"/>
          <w:sz w:val="21"/>
          <w:lang w:eastAsia="zh-CN"/>
        </w:rPr>
      </w:pPr>
      <w:r>
        <w:rPr>
          <w:rFonts w:eastAsiaTheme="minorEastAsia"/>
          <w:sz w:val="21"/>
          <w:lang w:eastAsia="zh-CN"/>
        </w:rPr>
        <w:t>F</w:t>
      </w:r>
      <w:r>
        <w:rPr>
          <w:sz w:val="21"/>
          <w:lang w:eastAsia="ja-JP"/>
        </w:rPr>
        <w:t>or soft satellite switching, since RAN2 agreed that the exact time when the UE starts synchronizing with target satellite (between T-start and T-service) is up to UE implementation</w:t>
      </w:r>
      <w:r>
        <w:rPr>
          <w:rFonts w:eastAsiaTheme="minorEastAsia"/>
          <w:sz w:val="21"/>
          <w:lang w:eastAsia="zh-CN"/>
        </w:rPr>
        <w:t>, we prefer to adopt option 1 in RAN4 RRM core requirements.</w:t>
      </w:r>
    </w:p>
    <w:p>
      <w:pPr>
        <w:pStyle w:val="12"/>
        <w:tabs>
          <w:tab w:val="left" w:pos="226"/>
          <w:tab w:val="left" w:pos="284"/>
          <w:tab w:val="left" w:pos="5103"/>
        </w:tabs>
        <w:snapToGrid w:val="0"/>
        <w:rPr>
          <w:i/>
          <w:sz w:val="21"/>
          <w:szCs w:val="21"/>
          <w:u w:val="single"/>
          <w:lang w:val="en-GB" w:eastAsia="ja-JP"/>
        </w:rPr>
      </w:pPr>
      <w:r>
        <w:rPr>
          <w:rFonts w:eastAsiaTheme="minorEastAsia"/>
          <w:b/>
          <w:i/>
          <w:sz w:val="21"/>
          <w:szCs w:val="21"/>
          <w:u w:val="single"/>
          <w:lang w:val="en-GB" w:eastAsia="zh-CN"/>
        </w:rPr>
        <w:t xml:space="preserve">Proposal 2: </w:t>
      </w:r>
      <w:r>
        <w:rPr>
          <w:i/>
          <w:sz w:val="21"/>
          <w:szCs w:val="21"/>
          <w:u w:val="single"/>
          <w:lang w:val="en-GB" w:eastAsia="ja-JP"/>
        </w:rPr>
        <w:t>For soft satellite switch without PCI change, define in RAN4 RRM core requirements that the starting point of the interruption time is between t-Start and t-Service, and the exact starting time is up to UE implementation.</w:t>
      </w:r>
    </w:p>
    <w:p>
      <w:pPr>
        <w:pStyle w:val="12"/>
        <w:tabs>
          <w:tab w:val="left" w:pos="226"/>
          <w:tab w:val="left" w:pos="284"/>
          <w:tab w:val="left" w:pos="5103"/>
        </w:tabs>
        <w:snapToGrid w:val="0"/>
        <w:rPr>
          <w:sz w:val="21"/>
          <w:szCs w:val="21"/>
          <w:lang w:val="fr-FR" w:eastAsia="ja-JP"/>
        </w:rPr>
      </w:pPr>
    </w:p>
    <w:p>
      <w:pPr>
        <w:snapToGrid w:val="0"/>
        <w:spacing w:after="120"/>
        <w:outlineLvl w:val="2"/>
        <w:rPr>
          <w:rFonts w:eastAsia="等线"/>
          <w:b/>
          <w:sz w:val="21"/>
          <w:szCs w:val="21"/>
          <w:u w:val="single"/>
          <w:lang w:eastAsia="ko-KR"/>
        </w:rPr>
      </w:pPr>
      <w:r>
        <w:rPr>
          <w:rFonts w:eastAsia="等线"/>
          <w:b/>
          <w:sz w:val="21"/>
          <w:szCs w:val="21"/>
          <w:u w:val="single"/>
          <w:lang w:eastAsia="ko-KR"/>
        </w:rPr>
        <w:t>Connected mode mobility: whether to define the same or separate starting points for UL and DL for hard switch</w:t>
      </w:r>
    </w:p>
    <w:p>
      <w:pPr>
        <w:pStyle w:val="12"/>
        <w:tabs>
          <w:tab w:val="left" w:pos="226"/>
          <w:tab w:val="left" w:pos="284"/>
          <w:tab w:val="left" w:pos="5103"/>
        </w:tabs>
        <w:snapToGrid w:val="0"/>
        <w:rPr>
          <w:rFonts w:eastAsiaTheme="minorEastAsia"/>
          <w:sz w:val="21"/>
          <w:lang w:eastAsia="zh-CN"/>
        </w:rPr>
      </w:pPr>
      <w:r>
        <w:rPr>
          <w:rFonts w:eastAsiaTheme="minorEastAsia"/>
          <w:sz w:val="21"/>
          <w:lang w:eastAsia="zh-CN"/>
        </w:rPr>
        <w:t>In the last meeting, companies have different views on whether</w:t>
      </w:r>
      <w:r>
        <w:t xml:space="preserve"> </w:t>
      </w:r>
      <w:r>
        <w:rPr>
          <w:rFonts w:eastAsiaTheme="minorEastAsia"/>
          <w:sz w:val="21"/>
          <w:lang w:eastAsia="zh-CN"/>
        </w:rPr>
        <w:t>to define the same or separate starting points for UL and DL for hard switch:</w:t>
      </w:r>
    </w:p>
    <w:p>
      <w:pPr>
        <w:pStyle w:val="35"/>
        <w:numPr>
          <w:ilvl w:val="0"/>
          <w:numId w:val="5"/>
        </w:numPr>
        <w:snapToGrid w:val="0"/>
        <w:spacing w:after="120"/>
        <w:ind w:left="644" w:hanging="357" w:firstLineChars="0"/>
        <w:rPr>
          <w:i/>
          <w:sz w:val="21"/>
          <w:lang w:eastAsia="ja-JP"/>
        </w:rPr>
      </w:pPr>
      <w:r>
        <w:rPr>
          <w:i/>
          <w:sz w:val="21"/>
          <w:lang w:eastAsia="ja-JP"/>
        </w:rPr>
        <w:t>Decide whether/how to define requirements resulting from separate link switch time instances for UL and DL</w:t>
      </w:r>
    </w:p>
    <w:p>
      <w:pPr>
        <w:pStyle w:val="35"/>
        <w:numPr>
          <w:ilvl w:val="1"/>
          <w:numId w:val="5"/>
        </w:numPr>
        <w:snapToGrid w:val="0"/>
        <w:spacing w:after="120"/>
        <w:ind w:left="1364" w:hanging="357" w:firstLineChars="0"/>
        <w:rPr>
          <w:i/>
          <w:sz w:val="21"/>
          <w:lang w:eastAsia="ja-JP"/>
        </w:rPr>
      </w:pPr>
      <w:r>
        <w:rPr>
          <w:i/>
          <w:sz w:val="21"/>
          <w:lang w:eastAsia="ja-JP"/>
        </w:rPr>
        <w:t>Option 1: Do not define separate starting points for UL and DL for hard switch</w:t>
      </w:r>
    </w:p>
    <w:p>
      <w:pPr>
        <w:pStyle w:val="35"/>
        <w:numPr>
          <w:ilvl w:val="1"/>
          <w:numId w:val="5"/>
        </w:numPr>
        <w:snapToGrid w:val="0"/>
        <w:spacing w:after="120"/>
        <w:ind w:left="1364" w:hanging="357" w:firstLineChars="0"/>
        <w:rPr>
          <w:i/>
          <w:sz w:val="21"/>
          <w:lang w:eastAsia="ja-JP"/>
        </w:rPr>
      </w:pPr>
      <w:r>
        <w:rPr>
          <w:i/>
          <w:sz w:val="21"/>
          <w:lang w:eastAsia="ja-JP"/>
        </w:rPr>
        <w:t>Option 2: Define separate starting points for UL and DL for hard switch</w:t>
      </w:r>
    </w:p>
    <w:p>
      <w:pPr>
        <w:pStyle w:val="12"/>
        <w:tabs>
          <w:tab w:val="left" w:pos="226"/>
          <w:tab w:val="left" w:pos="284"/>
          <w:tab w:val="left" w:pos="5103"/>
        </w:tabs>
        <w:snapToGrid w:val="0"/>
        <w:rPr>
          <w:rFonts w:eastAsiaTheme="minorEastAsia"/>
          <w:sz w:val="21"/>
          <w:szCs w:val="21"/>
          <w:lang w:val="en-GB" w:eastAsia="zh-CN"/>
        </w:rPr>
      </w:pPr>
      <w:r>
        <w:rPr>
          <w:rFonts w:hint="eastAsia" w:eastAsiaTheme="minorEastAsia"/>
          <w:sz w:val="21"/>
          <w:szCs w:val="21"/>
          <w:lang w:val="en-GB" w:eastAsia="zh-CN"/>
        </w:rPr>
        <w:t>O</w:t>
      </w:r>
      <w:r>
        <w:rPr>
          <w:rFonts w:eastAsiaTheme="minorEastAsia"/>
          <w:sz w:val="21"/>
          <w:szCs w:val="21"/>
          <w:lang w:val="en-GB" w:eastAsia="zh-CN"/>
        </w:rPr>
        <w:t>n one hand, we understand the motivation of defining separate starting points for UL and DL considering the propagation delay of the feeder link + service link and the concept of “hard” switch. On the other hand, the definition of separate starting points will make the requirements to be more complicated, and the feasibility also needs to be checked since the UL transmission is relying on the DL synchronization.</w:t>
      </w:r>
    </w:p>
    <w:p>
      <w:pPr>
        <w:pStyle w:val="12"/>
        <w:tabs>
          <w:tab w:val="left" w:pos="226"/>
          <w:tab w:val="left" w:pos="284"/>
          <w:tab w:val="left" w:pos="5103"/>
        </w:tabs>
        <w:snapToGrid w:val="0"/>
        <w:rPr>
          <w:i/>
          <w:sz w:val="21"/>
          <w:szCs w:val="21"/>
          <w:u w:val="single"/>
          <w:lang w:val="en-GB" w:eastAsia="ja-JP"/>
        </w:rPr>
      </w:pPr>
      <w:r>
        <w:rPr>
          <w:rFonts w:eastAsiaTheme="minorEastAsia"/>
          <w:b/>
          <w:i/>
          <w:sz w:val="21"/>
          <w:szCs w:val="21"/>
          <w:u w:val="single"/>
          <w:lang w:val="en-GB" w:eastAsia="zh-CN"/>
        </w:rPr>
        <w:t xml:space="preserve">Proposal 3: </w:t>
      </w:r>
      <w:r>
        <w:rPr>
          <w:i/>
          <w:sz w:val="21"/>
          <w:u w:val="single"/>
          <w:lang w:eastAsia="ja-JP"/>
        </w:rPr>
        <w:t>Do not define separate starting points for UL and DL for hard switch</w:t>
      </w:r>
      <w:r>
        <w:rPr>
          <w:i/>
          <w:sz w:val="21"/>
          <w:szCs w:val="21"/>
          <w:u w:val="single"/>
          <w:lang w:val="en-GB" w:eastAsia="ja-JP"/>
        </w:rPr>
        <w:t>.</w:t>
      </w:r>
    </w:p>
    <w:p>
      <w:pPr>
        <w:keepNext/>
        <w:widowControl w:val="0"/>
        <w:numPr>
          <w:ilvl w:val="0"/>
          <w:numId w:val="4"/>
        </w:numPr>
        <w:pBdr>
          <w:top w:val="single" w:color="auto" w:sz="12" w:space="1"/>
        </w:pBdr>
        <w:tabs>
          <w:tab w:val="left" w:pos="426"/>
        </w:tabs>
        <w:adjustRightInd w:val="0"/>
        <w:snapToGrid w:val="0"/>
        <w:spacing w:before="489" w:beforeLines="150" w:after="163" w:afterLines="50" w:line="252" w:lineRule="auto"/>
        <w:jc w:val="both"/>
        <w:textAlignment w:val="baseline"/>
        <w:outlineLvl w:val="0"/>
        <w:rPr>
          <w:rFonts w:ascii="Helvetica" w:hAnsi="Helvetica" w:eastAsia="宋体"/>
          <w:b/>
          <w:bCs/>
          <w:kern w:val="32"/>
          <w:sz w:val="28"/>
          <w:szCs w:val="32"/>
          <w:lang w:val="zh-CN" w:eastAsia="zh-CN"/>
        </w:rPr>
      </w:pPr>
      <w:r>
        <w:rPr>
          <w:rFonts w:hint="eastAsia" w:ascii="Helvetica" w:hAnsi="Helvetica" w:eastAsia="宋体"/>
          <w:b/>
          <w:bCs/>
          <w:kern w:val="32"/>
          <w:sz w:val="28"/>
          <w:szCs w:val="32"/>
          <w:lang w:val="zh-CN" w:eastAsia="zh-CN"/>
        </w:rPr>
        <w:t>Conclusion</w:t>
      </w:r>
    </w:p>
    <w:p>
      <w:pPr>
        <w:snapToGrid w:val="0"/>
        <w:spacing w:after="120"/>
        <w:rPr>
          <w:rFonts w:eastAsia="宋体"/>
          <w:bCs/>
          <w:iCs/>
          <w:sz w:val="21"/>
          <w:szCs w:val="21"/>
          <w:lang w:val="zh-CN" w:eastAsia="zh-CN"/>
        </w:rPr>
      </w:pPr>
      <w:r>
        <w:rPr>
          <w:rFonts w:hint="eastAsia" w:eastAsia="宋体"/>
          <w:bCs/>
          <w:iCs/>
          <w:sz w:val="21"/>
          <w:szCs w:val="21"/>
          <w:lang w:val="zh-CN" w:eastAsia="zh-CN"/>
        </w:rPr>
        <w:t>The contribution discussed</w:t>
      </w:r>
      <w:r>
        <w:rPr>
          <w:rFonts w:eastAsia="宋体"/>
          <w:bCs/>
          <w:iCs/>
          <w:sz w:val="21"/>
          <w:szCs w:val="21"/>
          <w:lang w:val="zh-CN" w:eastAsia="zh-CN"/>
        </w:rPr>
        <w:t xml:space="preserve"> </w:t>
      </w:r>
      <w:r>
        <w:rPr>
          <w:rFonts w:hint="eastAsia" w:eastAsia="宋体"/>
          <w:bCs/>
          <w:iCs/>
          <w:sz w:val="21"/>
          <w:szCs w:val="21"/>
          <w:lang w:val="zh-CN" w:eastAsia="zh-CN"/>
        </w:rPr>
        <w:t>some</w:t>
      </w:r>
      <w:r>
        <w:rPr>
          <w:rFonts w:eastAsia="宋体"/>
          <w:sz w:val="21"/>
          <w:szCs w:val="21"/>
          <w:lang w:eastAsia="zh-CN"/>
        </w:rPr>
        <w:t xml:space="preserve"> open issues</w:t>
      </w:r>
      <w:r>
        <w:rPr>
          <w:rFonts w:hint="eastAsia" w:eastAsia="宋体"/>
          <w:bCs/>
          <w:iCs/>
          <w:sz w:val="21"/>
          <w:szCs w:val="21"/>
          <w:lang w:val="zh-CN" w:eastAsia="zh-CN"/>
        </w:rPr>
        <w:t xml:space="preserve"> for</w:t>
      </w:r>
      <w:r>
        <w:rPr>
          <w:rFonts w:eastAsia="宋体"/>
          <w:bCs/>
          <w:iCs/>
          <w:sz w:val="21"/>
          <w:szCs w:val="21"/>
          <w:lang w:val="zh-CN" w:eastAsia="zh-CN"/>
        </w:rPr>
        <w:t xml:space="preserve"> </w:t>
      </w:r>
      <w:r>
        <w:rPr>
          <w:rFonts w:eastAsia="宋体"/>
          <w:sz w:val="21"/>
          <w:szCs w:val="21"/>
          <w:lang w:eastAsia="zh-CN"/>
        </w:rPr>
        <w:t>NTN mobility enhancements</w:t>
      </w:r>
      <w:r>
        <w:rPr>
          <w:rFonts w:hint="eastAsia" w:eastAsia="宋体"/>
          <w:bCs/>
          <w:iCs/>
          <w:sz w:val="21"/>
          <w:szCs w:val="21"/>
          <w:lang w:val="zh-CN" w:eastAsia="zh-CN"/>
        </w:rPr>
        <w:t xml:space="preserve">, </w:t>
      </w:r>
      <w:r>
        <w:rPr>
          <w:rFonts w:eastAsia="宋体"/>
          <w:bCs/>
          <w:iCs/>
          <w:sz w:val="21"/>
          <w:szCs w:val="21"/>
          <w:lang w:val="zh-CN" w:eastAsia="zh-CN"/>
        </w:rPr>
        <w:t>and made</w:t>
      </w:r>
      <w:r>
        <w:rPr>
          <w:rFonts w:hint="eastAsia" w:eastAsia="宋体"/>
          <w:bCs/>
          <w:iCs/>
          <w:sz w:val="21"/>
          <w:szCs w:val="21"/>
          <w:lang w:val="zh-CN" w:eastAsia="zh-CN"/>
        </w:rPr>
        <w:t xml:space="preserve"> the following proposal:</w:t>
      </w:r>
    </w:p>
    <w:p>
      <w:pPr>
        <w:pStyle w:val="12"/>
        <w:tabs>
          <w:tab w:val="left" w:pos="226"/>
          <w:tab w:val="left" w:pos="284"/>
          <w:tab w:val="left" w:pos="5103"/>
        </w:tabs>
        <w:snapToGrid w:val="0"/>
        <w:rPr>
          <w:i/>
          <w:sz w:val="21"/>
          <w:szCs w:val="21"/>
          <w:u w:val="single"/>
          <w:lang w:val="en-GB" w:eastAsia="ja-JP"/>
        </w:rPr>
      </w:pPr>
      <w:r>
        <w:rPr>
          <w:rFonts w:hint="eastAsia" w:eastAsiaTheme="minorEastAsia"/>
          <w:b/>
          <w:i/>
          <w:sz w:val="21"/>
          <w:szCs w:val="21"/>
          <w:u w:val="single"/>
          <w:lang w:val="en-GB" w:eastAsia="zh-CN"/>
        </w:rPr>
        <w:t>P</w:t>
      </w:r>
      <w:r>
        <w:rPr>
          <w:rFonts w:eastAsiaTheme="minorEastAsia"/>
          <w:b/>
          <w:i/>
          <w:sz w:val="21"/>
          <w:szCs w:val="21"/>
          <w:u w:val="single"/>
          <w:lang w:val="en-GB" w:eastAsia="zh-CN"/>
        </w:rPr>
        <w:t xml:space="preserve">roposal 1: </w:t>
      </w:r>
      <w:r>
        <w:rPr>
          <w:i/>
          <w:sz w:val="21"/>
          <w:szCs w:val="21"/>
          <w:u w:val="single"/>
          <w:lang w:val="en-GB" w:eastAsia="ja-JP"/>
        </w:rPr>
        <w:t>For time-based NTN to NTN cell reselection in earth-moving cell, the existing RRC idle/inactive mode requirements (4.2C and 5.1C) referring to ‘t-service’ can be reused.</w:t>
      </w:r>
    </w:p>
    <w:p>
      <w:pPr>
        <w:pStyle w:val="12"/>
        <w:tabs>
          <w:tab w:val="left" w:pos="226"/>
          <w:tab w:val="left" w:pos="284"/>
          <w:tab w:val="left" w:pos="5103"/>
        </w:tabs>
        <w:snapToGrid w:val="0"/>
        <w:rPr>
          <w:i/>
          <w:sz w:val="21"/>
          <w:szCs w:val="21"/>
          <w:u w:val="single"/>
          <w:lang w:val="en-GB" w:eastAsia="ja-JP"/>
        </w:rPr>
      </w:pPr>
      <w:r>
        <w:rPr>
          <w:rFonts w:eastAsiaTheme="minorEastAsia"/>
          <w:b/>
          <w:i/>
          <w:sz w:val="21"/>
          <w:szCs w:val="21"/>
          <w:u w:val="single"/>
          <w:lang w:val="en-GB" w:eastAsia="zh-CN"/>
        </w:rPr>
        <w:t xml:space="preserve">Proposal 2: </w:t>
      </w:r>
      <w:r>
        <w:rPr>
          <w:i/>
          <w:sz w:val="21"/>
          <w:szCs w:val="21"/>
          <w:u w:val="single"/>
          <w:lang w:val="en-GB" w:eastAsia="ja-JP"/>
        </w:rPr>
        <w:t>For soft satellite switch without PCI change, define in RAN4 RRM core requirements that the starting point of the interruption time is between t-Start and t-Service, and the exact starting time is up to UE implementation.</w:t>
      </w:r>
    </w:p>
    <w:p>
      <w:pPr>
        <w:pStyle w:val="12"/>
        <w:tabs>
          <w:tab w:val="left" w:pos="226"/>
          <w:tab w:val="left" w:pos="284"/>
          <w:tab w:val="left" w:pos="5103"/>
        </w:tabs>
        <w:snapToGrid w:val="0"/>
        <w:rPr>
          <w:i/>
          <w:sz w:val="21"/>
          <w:szCs w:val="21"/>
          <w:u w:val="single"/>
          <w:lang w:val="en-GB" w:eastAsia="ja-JP"/>
        </w:rPr>
      </w:pPr>
      <w:r>
        <w:rPr>
          <w:rFonts w:eastAsiaTheme="minorEastAsia"/>
          <w:b/>
          <w:i/>
          <w:sz w:val="21"/>
          <w:szCs w:val="21"/>
          <w:u w:val="single"/>
          <w:lang w:val="en-GB" w:eastAsia="zh-CN"/>
        </w:rPr>
        <w:t xml:space="preserve">Proposal 3: </w:t>
      </w:r>
      <w:r>
        <w:rPr>
          <w:i/>
          <w:sz w:val="21"/>
          <w:u w:val="single"/>
          <w:lang w:eastAsia="ja-JP"/>
        </w:rPr>
        <w:t>Do not define separate starting points for UL and DL for hard switch</w:t>
      </w:r>
      <w:r>
        <w:rPr>
          <w:i/>
          <w:sz w:val="21"/>
          <w:szCs w:val="21"/>
          <w:u w:val="single"/>
          <w:lang w:val="en-GB" w:eastAsia="ja-JP"/>
        </w:rPr>
        <w:t>.</w:t>
      </w:r>
    </w:p>
    <w:p>
      <w:pPr>
        <w:pStyle w:val="2"/>
        <w:keepLines w:val="0"/>
        <w:widowControl w:val="0"/>
        <w:numPr>
          <w:ilvl w:val="0"/>
          <w:numId w:val="4"/>
        </w:numPr>
        <w:pBdr>
          <w:top w:val="single" w:color="auto" w:sz="12" w:space="1"/>
        </w:pBdr>
        <w:tabs>
          <w:tab w:val="left" w:pos="426"/>
        </w:tabs>
        <w:adjustRightInd w:val="0"/>
        <w:snapToGrid w:val="0"/>
        <w:spacing w:before="489" w:beforeLines="150" w:after="163" w:afterLines="50" w:line="252" w:lineRule="auto"/>
        <w:jc w:val="both"/>
        <w:textAlignment w:val="baseline"/>
        <w:rPr>
          <w:rFonts w:eastAsia="宋体"/>
          <w:lang w:val="en-US" w:eastAsia="zh-CN"/>
        </w:rPr>
      </w:pPr>
      <w:r>
        <w:rPr>
          <w:rFonts w:hint="eastAsia" w:eastAsia="宋体"/>
          <w:lang w:eastAsia="zh-CN"/>
        </w:rPr>
        <w:t>References</w:t>
      </w:r>
    </w:p>
    <w:p>
      <w:pPr>
        <w:pStyle w:val="35"/>
        <w:numPr>
          <w:ilvl w:val="0"/>
          <w:numId w:val="6"/>
        </w:numPr>
        <w:snapToGrid w:val="0"/>
        <w:spacing w:after="120"/>
        <w:ind w:left="350" w:hanging="350" w:hangingChars="175"/>
        <w:rPr>
          <w:rFonts w:eastAsiaTheme="minorEastAsia"/>
          <w:sz w:val="21"/>
          <w:szCs w:val="21"/>
          <w:lang w:val="en-US" w:eastAsia="zh-CN"/>
        </w:rPr>
      </w:pPr>
      <w:r>
        <w:fldChar w:fldCharType="begin"/>
      </w:r>
      <w:r>
        <w:instrText xml:space="preserve"> HYPERLINK "ftp://10.10.10.10/ftp/tsg_ran/WG4_Radio/TSGR4_109/Inbox/R4-2321362.zip" </w:instrText>
      </w:r>
      <w:r>
        <w:fldChar w:fldCharType="separate"/>
      </w:r>
      <w:r>
        <w:rPr>
          <w:rFonts w:eastAsiaTheme="minorEastAsia"/>
          <w:sz w:val="21"/>
          <w:szCs w:val="21"/>
          <w:lang w:val="en-US" w:eastAsia="zh-CN"/>
        </w:rPr>
        <w:t>R4-2321362</w:t>
      </w:r>
      <w:r>
        <w:rPr>
          <w:rFonts w:eastAsiaTheme="minorEastAsia"/>
          <w:sz w:val="21"/>
          <w:szCs w:val="21"/>
          <w:lang w:val="en-US" w:eastAsia="zh-CN"/>
        </w:rPr>
        <w:fldChar w:fldCharType="end"/>
      </w:r>
      <w:r>
        <w:rPr>
          <w:rFonts w:eastAsiaTheme="minorEastAsia"/>
          <w:sz w:val="21"/>
          <w:szCs w:val="21"/>
          <w:lang w:val="en-US" w:eastAsia="zh-CN"/>
        </w:rPr>
        <w:t>, WF on NTN RRM requirements, Qualcomm, RAN4 #109.</w:t>
      </w:r>
    </w:p>
    <w:sectPr>
      <w:pgSz w:w="11906" w:h="16838"/>
      <w:pgMar w:top="1418" w:right="1247" w:bottom="1418" w:left="1247"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Gothic">
    <w:altName w:val="冬青黑体简体中文"/>
    <w:panose1 w:val="020B0609070205080204"/>
    <w:charset w:val="80"/>
    <w:family w:val="modern"/>
    <w:pitch w:val="default"/>
    <w:sig w:usb0="00000000" w:usb1="00000000" w:usb2="08000012" w:usb3="00000000" w:csb0="0002009F" w:csb1="00000000"/>
  </w:font>
  <w:font w:name="MS Mincho">
    <w:altName w:val="Hiragino Sans"/>
    <w:panose1 w:val="02020609040205080304"/>
    <w:charset w:val="80"/>
    <w:family w:val="modern"/>
    <w:pitch w:val="default"/>
    <w:sig w:usb0="00000000" w:usb1="00000000" w:usb2="08000012"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Helvetica">
    <w:panose1 w:val="00000000000000000000"/>
    <w:charset w:val="00"/>
    <w:family w:val="swiss"/>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1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3">
    <w:nsid w:val="430B387D"/>
    <w:multiLevelType w:val="multilevel"/>
    <w:tmpl w:val="430B387D"/>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4AE27F1"/>
    <w:multiLevelType w:val="singleLevel"/>
    <w:tmpl w:val="64AE27F1"/>
    <w:lvl w:ilvl="0" w:tentative="0">
      <w:start w:val="1"/>
      <w:numFmt w:val="bullet"/>
      <w:pStyle w:val="45"/>
      <w:lvlText w:val=""/>
      <w:lvlJc w:val="left"/>
      <w:pPr>
        <w:tabs>
          <w:tab w:val="left" w:pos="992"/>
        </w:tabs>
        <w:ind w:left="992" w:hanging="425"/>
      </w:pPr>
      <w:rPr>
        <w:rFonts w:hint="default" w:ascii="Symbol" w:hAnsi="Symbol" w:eastAsia="Times New Roman"/>
      </w:rPr>
    </w:lvl>
  </w:abstractNum>
  <w:abstractNum w:abstractNumId="5">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NotTrackFormatting/>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1326B"/>
    <w:rsid w:val="000739FB"/>
    <w:rsid w:val="0007461C"/>
    <w:rsid w:val="0007622B"/>
    <w:rsid w:val="000766FD"/>
    <w:rsid w:val="00093566"/>
    <w:rsid w:val="000C103E"/>
    <w:rsid w:val="000C5CD1"/>
    <w:rsid w:val="000D5EDA"/>
    <w:rsid w:val="000E2185"/>
    <w:rsid w:val="000E3D07"/>
    <w:rsid w:val="00102C86"/>
    <w:rsid w:val="00104614"/>
    <w:rsid w:val="00104674"/>
    <w:rsid w:val="00113CCE"/>
    <w:rsid w:val="001142CB"/>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E2706"/>
    <w:rsid w:val="001E34A5"/>
    <w:rsid w:val="00200FB0"/>
    <w:rsid w:val="00201F72"/>
    <w:rsid w:val="00206914"/>
    <w:rsid w:val="002139CC"/>
    <w:rsid w:val="0023084D"/>
    <w:rsid w:val="00234611"/>
    <w:rsid w:val="00237894"/>
    <w:rsid w:val="00241B15"/>
    <w:rsid w:val="00247ECA"/>
    <w:rsid w:val="00257DD5"/>
    <w:rsid w:val="00272CE0"/>
    <w:rsid w:val="00287EB7"/>
    <w:rsid w:val="0029773A"/>
    <w:rsid w:val="002A32E8"/>
    <w:rsid w:val="002A4BCA"/>
    <w:rsid w:val="002A6D8F"/>
    <w:rsid w:val="002D481D"/>
    <w:rsid w:val="00301835"/>
    <w:rsid w:val="00304E2D"/>
    <w:rsid w:val="00350309"/>
    <w:rsid w:val="00362C92"/>
    <w:rsid w:val="0038783A"/>
    <w:rsid w:val="00393740"/>
    <w:rsid w:val="003946FE"/>
    <w:rsid w:val="003A0410"/>
    <w:rsid w:val="003A2888"/>
    <w:rsid w:val="003B606F"/>
    <w:rsid w:val="003B6A68"/>
    <w:rsid w:val="003D1D6B"/>
    <w:rsid w:val="003E0EB2"/>
    <w:rsid w:val="003F1A87"/>
    <w:rsid w:val="003F5E11"/>
    <w:rsid w:val="003F7C37"/>
    <w:rsid w:val="00411094"/>
    <w:rsid w:val="0041142F"/>
    <w:rsid w:val="004122F1"/>
    <w:rsid w:val="00413D58"/>
    <w:rsid w:val="00413E0F"/>
    <w:rsid w:val="004146F0"/>
    <w:rsid w:val="00421122"/>
    <w:rsid w:val="00421835"/>
    <w:rsid w:val="00451862"/>
    <w:rsid w:val="00481477"/>
    <w:rsid w:val="00481524"/>
    <w:rsid w:val="004843B5"/>
    <w:rsid w:val="004878FF"/>
    <w:rsid w:val="004944B1"/>
    <w:rsid w:val="00494E9C"/>
    <w:rsid w:val="004A46E8"/>
    <w:rsid w:val="004B2FD7"/>
    <w:rsid w:val="004B32A2"/>
    <w:rsid w:val="004B58B5"/>
    <w:rsid w:val="004B6180"/>
    <w:rsid w:val="004B786E"/>
    <w:rsid w:val="004C191F"/>
    <w:rsid w:val="004C2AF4"/>
    <w:rsid w:val="004C74A2"/>
    <w:rsid w:val="004F04F2"/>
    <w:rsid w:val="004F132F"/>
    <w:rsid w:val="004F1D11"/>
    <w:rsid w:val="004F2758"/>
    <w:rsid w:val="00505C99"/>
    <w:rsid w:val="0051516D"/>
    <w:rsid w:val="00516489"/>
    <w:rsid w:val="0053687A"/>
    <w:rsid w:val="00537598"/>
    <w:rsid w:val="0054098D"/>
    <w:rsid w:val="00560F4D"/>
    <w:rsid w:val="005636E7"/>
    <w:rsid w:val="00564B25"/>
    <w:rsid w:val="0057048A"/>
    <w:rsid w:val="00570C95"/>
    <w:rsid w:val="00571080"/>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A237E"/>
    <w:rsid w:val="006C7D18"/>
    <w:rsid w:val="006E059C"/>
    <w:rsid w:val="006E1918"/>
    <w:rsid w:val="006F50F7"/>
    <w:rsid w:val="007023E7"/>
    <w:rsid w:val="00712744"/>
    <w:rsid w:val="00716E44"/>
    <w:rsid w:val="00717B54"/>
    <w:rsid w:val="00722B91"/>
    <w:rsid w:val="00730D15"/>
    <w:rsid w:val="0073185B"/>
    <w:rsid w:val="00757A08"/>
    <w:rsid w:val="007702D3"/>
    <w:rsid w:val="00783D76"/>
    <w:rsid w:val="007952C1"/>
    <w:rsid w:val="007A0307"/>
    <w:rsid w:val="007A2006"/>
    <w:rsid w:val="007A3D8F"/>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44B6D"/>
    <w:rsid w:val="009545A4"/>
    <w:rsid w:val="00956FCE"/>
    <w:rsid w:val="009665EB"/>
    <w:rsid w:val="00986183"/>
    <w:rsid w:val="00992F00"/>
    <w:rsid w:val="009A7127"/>
    <w:rsid w:val="009B1C42"/>
    <w:rsid w:val="009F1AF7"/>
    <w:rsid w:val="00A0150A"/>
    <w:rsid w:val="00A0310E"/>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009E"/>
    <w:rsid w:val="00B96F44"/>
    <w:rsid w:val="00BA26FD"/>
    <w:rsid w:val="00BA3F3B"/>
    <w:rsid w:val="00BB03D8"/>
    <w:rsid w:val="00BC3681"/>
    <w:rsid w:val="00BD6D15"/>
    <w:rsid w:val="00BE6863"/>
    <w:rsid w:val="00BF06D0"/>
    <w:rsid w:val="00C02096"/>
    <w:rsid w:val="00C053EC"/>
    <w:rsid w:val="00C11DCC"/>
    <w:rsid w:val="00C13517"/>
    <w:rsid w:val="00C31DBF"/>
    <w:rsid w:val="00C347E5"/>
    <w:rsid w:val="00C4282D"/>
    <w:rsid w:val="00C44702"/>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06D5F"/>
    <w:rsid w:val="00D34AF8"/>
    <w:rsid w:val="00D34FBB"/>
    <w:rsid w:val="00D356D8"/>
    <w:rsid w:val="00D36CAF"/>
    <w:rsid w:val="00D37C96"/>
    <w:rsid w:val="00D52C55"/>
    <w:rsid w:val="00D62222"/>
    <w:rsid w:val="00D67424"/>
    <w:rsid w:val="00D82D40"/>
    <w:rsid w:val="00D84561"/>
    <w:rsid w:val="00D91B5A"/>
    <w:rsid w:val="00D925FC"/>
    <w:rsid w:val="00DA4091"/>
    <w:rsid w:val="00DA449A"/>
    <w:rsid w:val="00DA7392"/>
    <w:rsid w:val="00DB3B2C"/>
    <w:rsid w:val="00DC5820"/>
    <w:rsid w:val="00DD1248"/>
    <w:rsid w:val="00DD1E37"/>
    <w:rsid w:val="00DD7DC3"/>
    <w:rsid w:val="00DE3E19"/>
    <w:rsid w:val="00DE548C"/>
    <w:rsid w:val="00DF43F3"/>
    <w:rsid w:val="00DF7905"/>
    <w:rsid w:val="00E22CE5"/>
    <w:rsid w:val="00E23432"/>
    <w:rsid w:val="00E304FB"/>
    <w:rsid w:val="00E40809"/>
    <w:rsid w:val="00E5141C"/>
    <w:rsid w:val="00E622E8"/>
    <w:rsid w:val="00E7730D"/>
    <w:rsid w:val="00E8103E"/>
    <w:rsid w:val="00E86F41"/>
    <w:rsid w:val="00EA1345"/>
    <w:rsid w:val="00EB123D"/>
    <w:rsid w:val="00EB2384"/>
    <w:rsid w:val="00EB6712"/>
    <w:rsid w:val="00EC5507"/>
    <w:rsid w:val="00EC57F2"/>
    <w:rsid w:val="00EC5863"/>
    <w:rsid w:val="00ED2E10"/>
    <w:rsid w:val="00ED302F"/>
    <w:rsid w:val="00EF1D5F"/>
    <w:rsid w:val="00EF29D0"/>
    <w:rsid w:val="00F0093B"/>
    <w:rsid w:val="00F04507"/>
    <w:rsid w:val="00F11D9A"/>
    <w:rsid w:val="00F11ECF"/>
    <w:rsid w:val="00F2363F"/>
    <w:rsid w:val="00F33982"/>
    <w:rsid w:val="00F3518C"/>
    <w:rsid w:val="00F42EA7"/>
    <w:rsid w:val="00F458B4"/>
    <w:rsid w:val="00F464D4"/>
    <w:rsid w:val="00F53F81"/>
    <w:rsid w:val="00F56866"/>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 w:val="7F6DE65A"/>
    <w:rsid w:val="9FFFA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kern w:val="0"/>
      <w:sz w:val="24"/>
      <w:szCs w:val="20"/>
      <w:lang w:val="en-GB" w:eastAsia="ja-JP" w:bidi="ar-SA"/>
    </w:rPr>
  </w:style>
  <w:style w:type="paragraph" w:styleId="2">
    <w:name w:val="heading 1"/>
    <w:next w:val="1"/>
    <w:link w:val="26"/>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kern w:val="0"/>
      <w:sz w:val="36"/>
      <w:szCs w:val="20"/>
      <w:lang w:val="sv-SE" w:eastAsia="en-US" w:bidi="ar-SA"/>
    </w:rPr>
  </w:style>
  <w:style w:type="paragraph" w:styleId="3">
    <w:name w:val="heading 2"/>
    <w:basedOn w:val="2"/>
    <w:next w:val="1"/>
    <w:link w:val="27"/>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28"/>
    <w:qFormat/>
    <w:uiPriority w:val="0"/>
    <w:pPr>
      <w:numPr>
        <w:ilvl w:val="2"/>
      </w:numPr>
      <w:spacing w:before="120"/>
      <w:outlineLvl w:val="2"/>
    </w:pPr>
  </w:style>
  <w:style w:type="paragraph" w:styleId="5">
    <w:name w:val="heading 4"/>
    <w:basedOn w:val="4"/>
    <w:next w:val="1"/>
    <w:link w:val="29"/>
    <w:qFormat/>
    <w:uiPriority w:val="0"/>
    <w:pPr>
      <w:numPr>
        <w:ilvl w:val="3"/>
      </w:numPr>
      <w:outlineLvl w:val="3"/>
    </w:pPr>
    <w:rPr>
      <w:sz w:val="24"/>
    </w:rPr>
  </w:style>
  <w:style w:type="paragraph" w:styleId="6">
    <w:name w:val="heading 5"/>
    <w:basedOn w:val="5"/>
    <w:next w:val="1"/>
    <w:link w:val="30"/>
    <w:qFormat/>
    <w:uiPriority w:val="0"/>
    <w:pPr>
      <w:numPr>
        <w:ilvl w:val="4"/>
      </w:numPr>
      <w:outlineLvl w:val="4"/>
    </w:pPr>
    <w:rPr>
      <w:sz w:val="22"/>
    </w:rPr>
  </w:style>
  <w:style w:type="paragraph" w:styleId="7">
    <w:name w:val="heading 6"/>
    <w:basedOn w:val="1"/>
    <w:next w:val="1"/>
    <w:link w:val="31"/>
    <w:qFormat/>
    <w:uiPriority w:val="0"/>
    <w:pPr>
      <w:keepNext/>
      <w:keepLines/>
      <w:numPr>
        <w:ilvl w:val="5"/>
        <w:numId w:val="1"/>
      </w:numPr>
      <w:spacing w:before="120" w:after="180"/>
      <w:outlineLvl w:val="5"/>
    </w:pPr>
    <w:rPr>
      <w:rFonts w:ascii="Arial" w:hAnsi="Arial" w:eastAsiaTheme="minorEastAsia"/>
      <w:sz w:val="20"/>
      <w:szCs w:val="18"/>
      <w:lang w:val="sv-SE" w:eastAsia="zh-CN"/>
    </w:rPr>
  </w:style>
  <w:style w:type="paragraph" w:styleId="8">
    <w:name w:val="heading 7"/>
    <w:basedOn w:val="1"/>
    <w:next w:val="1"/>
    <w:link w:val="32"/>
    <w:qFormat/>
    <w:uiPriority w:val="0"/>
    <w:pPr>
      <w:keepNext/>
      <w:keepLines/>
      <w:numPr>
        <w:ilvl w:val="6"/>
        <w:numId w:val="1"/>
      </w:numPr>
      <w:spacing w:before="120" w:after="180"/>
      <w:outlineLvl w:val="6"/>
    </w:pPr>
    <w:rPr>
      <w:rFonts w:ascii="Arial" w:hAnsi="Arial" w:eastAsiaTheme="minorEastAsia"/>
      <w:sz w:val="20"/>
      <w:szCs w:val="18"/>
      <w:lang w:val="sv-SE" w:eastAsia="zh-CN"/>
    </w:rPr>
  </w:style>
  <w:style w:type="paragraph" w:styleId="9">
    <w:name w:val="heading 8"/>
    <w:basedOn w:val="2"/>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7"/>
    <w:uiPriority w:val="0"/>
    <w:pPr>
      <w:spacing w:after="180"/>
    </w:pPr>
    <w:rPr>
      <w:rFonts w:eastAsia="宋体"/>
      <w:sz w:val="20"/>
      <w:lang w:eastAsia="en-US"/>
    </w:rPr>
  </w:style>
  <w:style w:type="paragraph" w:styleId="12">
    <w:name w:val="Body Text"/>
    <w:basedOn w:val="1"/>
    <w:link w:val="42"/>
    <w:uiPriority w:val="0"/>
    <w:pPr>
      <w:spacing w:after="120"/>
      <w:jc w:val="both"/>
    </w:pPr>
    <w:rPr>
      <w:rFonts w:eastAsia="MS Mincho"/>
      <w:sz w:val="20"/>
      <w:szCs w:val="24"/>
      <w:lang w:val="zh-CN" w:eastAsia="en-US"/>
    </w:rPr>
  </w:style>
  <w:style w:type="paragraph" w:styleId="13">
    <w:name w:val="List Number 3"/>
    <w:basedOn w:val="1"/>
    <w:qFormat/>
    <w:uiPriority w:val="0"/>
    <w:pPr>
      <w:numPr>
        <w:ilvl w:val="0"/>
        <w:numId w:val="2"/>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styleId="14">
    <w:name w:val="List 2"/>
    <w:basedOn w:val="1"/>
    <w:semiHidden/>
    <w:unhideWhenUsed/>
    <w:uiPriority w:val="99"/>
    <w:pPr>
      <w:ind w:left="100" w:leftChars="200" w:hanging="200" w:hangingChars="200"/>
      <w:contextualSpacing/>
    </w:pPr>
  </w:style>
  <w:style w:type="paragraph" w:styleId="15">
    <w:name w:val="Balloon Text"/>
    <w:basedOn w:val="1"/>
    <w:link w:val="38"/>
    <w:semiHidden/>
    <w:unhideWhenUsed/>
    <w:uiPriority w:val="99"/>
    <w:rPr>
      <w:sz w:val="18"/>
      <w:szCs w:val="18"/>
    </w:rPr>
  </w:style>
  <w:style w:type="paragraph" w:styleId="16">
    <w:name w:val="footer"/>
    <w:basedOn w:val="1"/>
    <w:link w:val="25"/>
    <w:unhideWhenUsed/>
    <w:uiPriority w:val="99"/>
    <w:pPr>
      <w:tabs>
        <w:tab w:val="center" w:pos="4153"/>
        <w:tab w:val="right" w:pos="8306"/>
      </w:tabs>
      <w:snapToGrid w:val="0"/>
    </w:pPr>
    <w:rPr>
      <w:sz w:val="18"/>
      <w:szCs w:val="18"/>
    </w:rPr>
  </w:style>
  <w:style w:type="paragraph" w:styleId="17">
    <w:name w:val="header"/>
    <w:basedOn w:val="1"/>
    <w:link w:val="24"/>
    <w:unhideWhenUsed/>
    <w:uiPriority w:val="0"/>
    <w:pPr>
      <w:pBdr>
        <w:bottom w:val="single" w:color="auto" w:sz="6" w:space="1"/>
      </w:pBdr>
      <w:tabs>
        <w:tab w:val="center" w:pos="4153"/>
        <w:tab w:val="right" w:pos="8306"/>
      </w:tabs>
      <w:snapToGrid w:val="0"/>
      <w:jc w:val="center"/>
    </w:pPr>
    <w:rPr>
      <w:sz w:val="18"/>
      <w:szCs w:val="18"/>
    </w:rPr>
  </w:style>
  <w:style w:type="paragraph" w:styleId="18">
    <w:name w:val="List"/>
    <w:basedOn w:val="1"/>
    <w:semiHidden/>
    <w:unhideWhenUsed/>
    <w:uiPriority w:val="99"/>
    <w:pPr>
      <w:ind w:left="200" w:hanging="200" w:hangingChars="200"/>
      <w:contextualSpacing/>
    </w:pPr>
  </w:style>
  <w:style w:type="table" w:styleId="20">
    <w:name w:val="Table Grid"/>
    <w:basedOn w:val="19"/>
    <w:qFormat/>
    <w:uiPriority w:val="0"/>
    <w:pPr>
      <w:overflowPunct w:val="0"/>
      <w:autoSpaceDE w:val="0"/>
      <w:autoSpaceDN w:val="0"/>
      <w:adjustRightInd w:val="0"/>
      <w:spacing w:after="180"/>
      <w:textAlignment w:val="baseline"/>
    </w:pPr>
    <w:rPr>
      <w:rFonts w:ascii="Times New Roman" w:hAnsi="Times New Roman" w:eastAsia="Yu Mincho" w:cs="Times New Roman"/>
      <w:kern w:val="0"/>
      <w:sz w:val="20"/>
      <w:szCs w:val="20"/>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unhideWhenUsed/>
    <w:qFormat/>
    <w:uiPriority w:val="99"/>
    <w:rPr>
      <w:color w:val="0000FF"/>
      <w:u w:val="single"/>
    </w:rPr>
  </w:style>
  <w:style w:type="character" w:styleId="23">
    <w:name w:val="annotation reference"/>
    <w:uiPriority w:val="0"/>
    <w:rPr>
      <w:sz w:val="16"/>
    </w:rPr>
  </w:style>
  <w:style w:type="character" w:customStyle="1" w:styleId="24">
    <w:name w:val="页眉 字符"/>
    <w:basedOn w:val="21"/>
    <w:link w:val="17"/>
    <w:uiPriority w:val="0"/>
    <w:rPr>
      <w:sz w:val="18"/>
      <w:szCs w:val="18"/>
    </w:rPr>
  </w:style>
  <w:style w:type="character" w:customStyle="1" w:styleId="25">
    <w:name w:val="页脚 字符"/>
    <w:basedOn w:val="21"/>
    <w:link w:val="16"/>
    <w:uiPriority w:val="99"/>
    <w:rPr>
      <w:sz w:val="18"/>
      <w:szCs w:val="18"/>
    </w:rPr>
  </w:style>
  <w:style w:type="character" w:customStyle="1" w:styleId="26">
    <w:name w:val="标题 1 字符"/>
    <w:basedOn w:val="21"/>
    <w:link w:val="2"/>
    <w:uiPriority w:val="0"/>
    <w:rPr>
      <w:rFonts w:ascii="Arial" w:hAnsi="Arial" w:cs="Times New Roman"/>
      <w:kern w:val="0"/>
      <w:sz w:val="36"/>
      <w:szCs w:val="20"/>
      <w:lang w:val="sv-SE" w:eastAsia="en-US"/>
    </w:rPr>
  </w:style>
  <w:style w:type="character" w:customStyle="1" w:styleId="27">
    <w:name w:val="标题 2 字符"/>
    <w:basedOn w:val="21"/>
    <w:link w:val="3"/>
    <w:uiPriority w:val="0"/>
    <w:rPr>
      <w:rFonts w:ascii="Arial" w:hAnsi="Arial" w:cs="Times New Roman"/>
      <w:kern w:val="0"/>
      <w:sz w:val="28"/>
      <w:szCs w:val="18"/>
      <w:lang w:val="sv-SE"/>
    </w:rPr>
  </w:style>
  <w:style w:type="character" w:customStyle="1" w:styleId="28">
    <w:name w:val="标题 3 字符"/>
    <w:basedOn w:val="21"/>
    <w:link w:val="4"/>
    <w:uiPriority w:val="0"/>
    <w:rPr>
      <w:rFonts w:ascii="Arial" w:hAnsi="Arial" w:cs="Times New Roman"/>
      <w:kern w:val="0"/>
      <w:sz w:val="28"/>
      <w:szCs w:val="18"/>
      <w:lang w:val="sv-SE"/>
    </w:rPr>
  </w:style>
  <w:style w:type="character" w:customStyle="1" w:styleId="29">
    <w:name w:val="标题 4 字符"/>
    <w:basedOn w:val="21"/>
    <w:link w:val="5"/>
    <w:uiPriority w:val="0"/>
    <w:rPr>
      <w:rFonts w:ascii="Arial" w:hAnsi="Arial" w:cs="Times New Roman"/>
      <w:kern w:val="0"/>
      <w:sz w:val="24"/>
      <w:szCs w:val="18"/>
      <w:lang w:val="sv-SE"/>
    </w:rPr>
  </w:style>
  <w:style w:type="character" w:customStyle="1" w:styleId="30">
    <w:name w:val="标题 5 字符"/>
    <w:basedOn w:val="21"/>
    <w:link w:val="6"/>
    <w:uiPriority w:val="0"/>
    <w:rPr>
      <w:rFonts w:ascii="Arial" w:hAnsi="Arial" w:cs="Times New Roman"/>
      <w:kern w:val="0"/>
      <w:sz w:val="22"/>
      <w:szCs w:val="18"/>
      <w:lang w:val="sv-SE"/>
    </w:rPr>
  </w:style>
  <w:style w:type="character" w:customStyle="1" w:styleId="31">
    <w:name w:val="标题 6 字符"/>
    <w:basedOn w:val="21"/>
    <w:link w:val="7"/>
    <w:uiPriority w:val="0"/>
    <w:rPr>
      <w:rFonts w:ascii="Arial" w:hAnsi="Arial" w:cs="Times New Roman"/>
      <w:kern w:val="0"/>
      <w:sz w:val="20"/>
      <w:szCs w:val="18"/>
      <w:lang w:val="sv-SE"/>
    </w:rPr>
  </w:style>
  <w:style w:type="character" w:customStyle="1" w:styleId="32">
    <w:name w:val="标题 7 字符"/>
    <w:basedOn w:val="21"/>
    <w:link w:val="8"/>
    <w:uiPriority w:val="0"/>
    <w:rPr>
      <w:rFonts w:ascii="Arial" w:hAnsi="Arial" w:cs="Times New Roman"/>
      <w:kern w:val="0"/>
      <w:sz w:val="20"/>
      <w:szCs w:val="18"/>
      <w:lang w:val="sv-SE"/>
    </w:rPr>
  </w:style>
  <w:style w:type="character" w:customStyle="1" w:styleId="33">
    <w:name w:val="标题 8 字符"/>
    <w:basedOn w:val="21"/>
    <w:link w:val="9"/>
    <w:uiPriority w:val="0"/>
    <w:rPr>
      <w:rFonts w:ascii="Arial" w:hAnsi="Arial" w:cs="Times New Roman"/>
      <w:kern w:val="0"/>
      <w:sz w:val="36"/>
      <w:szCs w:val="20"/>
      <w:lang w:val="sv-SE" w:eastAsia="en-US"/>
    </w:rPr>
  </w:style>
  <w:style w:type="character" w:customStyle="1" w:styleId="34">
    <w:name w:val="标题 9 字符"/>
    <w:basedOn w:val="21"/>
    <w:link w:val="10"/>
    <w:uiPriority w:val="0"/>
    <w:rPr>
      <w:rFonts w:ascii="Arial" w:hAnsi="Arial" w:cs="Times New Roman"/>
      <w:kern w:val="0"/>
      <w:sz w:val="36"/>
      <w:szCs w:val="20"/>
      <w:lang w:val="sv-SE" w:eastAsia="en-US"/>
    </w:rPr>
  </w:style>
  <w:style w:type="paragraph" w:styleId="35">
    <w:name w:val="List Paragraph"/>
    <w:basedOn w:val="1"/>
    <w:link w:val="36"/>
    <w:qFormat/>
    <w:uiPriority w:val="34"/>
    <w:pPr>
      <w:overflowPunct w:val="0"/>
      <w:autoSpaceDE w:val="0"/>
      <w:autoSpaceDN w:val="0"/>
      <w:adjustRightInd w:val="0"/>
      <w:spacing w:after="180"/>
      <w:ind w:firstLine="420" w:firstLineChars="200"/>
      <w:textAlignment w:val="baseline"/>
    </w:pPr>
    <w:rPr>
      <w:rFonts w:eastAsia="MS Mincho"/>
      <w:sz w:val="20"/>
      <w:lang w:eastAsia="en-US"/>
    </w:rPr>
  </w:style>
  <w:style w:type="character" w:customStyle="1" w:styleId="36">
    <w:name w:val="列出段落 字符"/>
    <w:link w:val="35"/>
    <w:qFormat/>
    <w:locked/>
    <w:uiPriority w:val="34"/>
    <w:rPr>
      <w:rFonts w:ascii="Times New Roman" w:hAnsi="Times New Roman" w:eastAsia="MS Mincho" w:cs="Times New Roman"/>
      <w:kern w:val="0"/>
      <w:sz w:val="20"/>
      <w:szCs w:val="20"/>
      <w:lang w:val="en-GB" w:eastAsia="en-US"/>
    </w:rPr>
  </w:style>
  <w:style w:type="character" w:customStyle="1" w:styleId="37">
    <w:name w:val="批注文字 字符"/>
    <w:basedOn w:val="21"/>
    <w:link w:val="11"/>
    <w:uiPriority w:val="0"/>
    <w:rPr>
      <w:rFonts w:ascii="Times New Roman" w:hAnsi="Times New Roman" w:eastAsia="宋体" w:cs="Times New Roman"/>
      <w:kern w:val="0"/>
      <w:sz w:val="20"/>
      <w:szCs w:val="20"/>
      <w:lang w:val="en-GB" w:eastAsia="en-US"/>
    </w:rPr>
  </w:style>
  <w:style w:type="character" w:customStyle="1" w:styleId="38">
    <w:name w:val="批注框文本 字符"/>
    <w:basedOn w:val="21"/>
    <w:link w:val="15"/>
    <w:semiHidden/>
    <w:uiPriority w:val="99"/>
    <w:rPr>
      <w:rFonts w:ascii="Times New Roman" w:hAnsi="Times New Roman" w:eastAsia="MS Gothic" w:cs="Times New Roman"/>
      <w:kern w:val="0"/>
      <w:sz w:val="18"/>
      <w:szCs w:val="18"/>
      <w:lang w:val="en-GB" w:eastAsia="ja-JP"/>
    </w:rPr>
  </w:style>
  <w:style w:type="paragraph" w:customStyle="1" w:styleId="39">
    <w:name w:val="Revision"/>
    <w:hidden/>
    <w:semiHidden/>
    <w:uiPriority w:val="99"/>
    <w:rPr>
      <w:rFonts w:ascii="Times New Roman" w:hAnsi="Times New Roman" w:eastAsia="MS Gothic" w:cs="Times New Roman"/>
      <w:kern w:val="0"/>
      <w:sz w:val="24"/>
      <w:szCs w:val="20"/>
      <w:lang w:val="en-GB" w:eastAsia="ja-JP" w:bidi="ar-SA"/>
    </w:rPr>
  </w:style>
  <w:style w:type="paragraph" w:customStyle="1" w:styleId="40">
    <w:name w:val="TF"/>
    <w:basedOn w:val="1"/>
    <w:link w:val="41"/>
    <w:qFormat/>
    <w:uiPriority w:val="0"/>
    <w:pPr>
      <w:keepLines/>
      <w:spacing w:after="240"/>
      <w:jc w:val="center"/>
    </w:pPr>
    <w:rPr>
      <w:rFonts w:ascii="Arial" w:hAnsi="Arial" w:eastAsiaTheme="minorEastAsia"/>
      <w:b/>
      <w:sz w:val="20"/>
      <w:lang w:eastAsia="en-US"/>
    </w:rPr>
  </w:style>
  <w:style w:type="character" w:customStyle="1" w:styleId="41">
    <w:name w:val="TF Char"/>
    <w:link w:val="40"/>
    <w:qFormat/>
    <w:locked/>
    <w:uiPriority w:val="0"/>
    <w:rPr>
      <w:rFonts w:ascii="Arial" w:hAnsi="Arial" w:cs="Times New Roman"/>
      <w:b/>
      <w:kern w:val="0"/>
      <w:sz w:val="20"/>
      <w:szCs w:val="20"/>
      <w:lang w:val="en-GB" w:eastAsia="en-US"/>
    </w:rPr>
  </w:style>
  <w:style w:type="character" w:customStyle="1" w:styleId="42">
    <w:name w:val="正文文本 字符"/>
    <w:basedOn w:val="21"/>
    <w:link w:val="12"/>
    <w:uiPriority w:val="0"/>
    <w:rPr>
      <w:rFonts w:ascii="Times New Roman" w:hAnsi="Times New Roman" w:eastAsia="MS Mincho" w:cs="Times New Roman"/>
      <w:kern w:val="0"/>
      <w:sz w:val="20"/>
      <w:szCs w:val="24"/>
      <w:lang w:val="zh-CN" w:eastAsia="en-US"/>
    </w:rPr>
  </w:style>
  <w:style w:type="paragraph" w:customStyle="1" w:styleId="43">
    <w:name w:val="목록 단락1"/>
    <w:basedOn w:val="1"/>
    <w:qFormat/>
    <w:uiPriority w:val="34"/>
    <w:pPr>
      <w:spacing w:after="160" w:line="259" w:lineRule="auto"/>
      <w:ind w:left="840" w:leftChars="400"/>
    </w:pPr>
    <w:rPr>
      <w:rFonts w:ascii="MS Gothic" w:hAnsi="MS Gothic"/>
      <w:sz w:val="20"/>
      <w:lang w:val="en-US" w:eastAsia="ko-KR"/>
    </w:rPr>
  </w:style>
  <w:style w:type="paragraph" w:customStyle="1" w:styleId="44">
    <w:name w:val="FP"/>
    <w:basedOn w:val="1"/>
    <w:uiPriority w:val="0"/>
    <w:pPr>
      <w:overflowPunct w:val="0"/>
      <w:autoSpaceDE w:val="0"/>
      <w:autoSpaceDN w:val="0"/>
      <w:adjustRightInd w:val="0"/>
      <w:textAlignment w:val="baseline"/>
    </w:pPr>
    <w:rPr>
      <w:rFonts w:eastAsia="Times New Roman"/>
      <w:sz w:val="20"/>
      <w:lang w:eastAsia="en-GB"/>
    </w:rPr>
  </w:style>
  <w:style w:type="paragraph" w:customStyle="1" w:styleId="45">
    <w:name w:val="text intend 1"/>
    <w:basedOn w:val="1"/>
    <w:uiPriority w:val="0"/>
    <w:pPr>
      <w:numPr>
        <w:ilvl w:val="0"/>
        <w:numId w:val="3"/>
      </w:numPr>
      <w:spacing w:after="120"/>
      <w:jc w:val="both"/>
    </w:pPr>
    <w:rPr>
      <w:lang w:val="en-US"/>
    </w:rPr>
  </w:style>
  <w:style w:type="paragraph" w:customStyle="1" w:styleId="46">
    <w:name w:val="B1"/>
    <w:basedOn w:val="18"/>
    <w:link w:val="47"/>
    <w:qFormat/>
    <w:uiPriority w:val="0"/>
    <w:pPr>
      <w:spacing w:after="180"/>
      <w:ind w:left="568" w:hanging="284" w:firstLineChars="0"/>
      <w:contextualSpacing w:val="0"/>
    </w:pPr>
    <w:rPr>
      <w:rFonts w:eastAsia="宋体"/>
      <w:sz w:val="20"/>
      <w:lang w:eastAsia="en-US"/>
    </w:rPr>
  </w:style>
  <w:style w:type="character" w:customStyle="1" w:styleId="47">
    <w:name w:val="B1 Char"/>
    <w:link w:val="46"/>
    <w:qFormat/>
    <w:uiPriority w:val="0"/>
    <w:rPr>
      <w:rFonts w:ascii="Times New Roman" w:hAnsi="Times New Roman" w:eastAsia="宋体" w:cs="Times New Roman"/>
      <w:kern w:val="0"/>
      <w:sz w:val="20"/>
      <w:szCs w:val="20"/>
      <w:lang w:val="en-GB" w:eastAsia="en-US"/>
    </w:rPr>
  </w:style>
  <w:style w:type="paragraph" w:customStyle="1" w:styleId="48">
    <w:name w:val="列表段落11"/>
    <w:basedOn w:val="1"/>
    <w:next w:val="35"/>
    <w:qFormat/>
    <w:uiPriority w:val="34"/>
    <w:pPr>
      <w:overflowPunct w:val="0"/>
      <w:autoSpaceDE w:val="0"/>
      <w:autoSpaceDN w:val="0"/>
      <w:adjustRightInd w:val="0"/>
      <w:spacing w:after="180"/>
      <w:ind w:left="720"/>
      <w:textAlignment w:val="baseline"/>
    </w:pPr>
    <w:rPr>
      <w:rFonts w:eastAsia="Times New Roman"/>
      <w:sz w:val="20"/>
      <w:lang w:eastAsia="en-GB"/>
    </w:rPr>
  </w:style>
  <w:style w:type="paragraph" w:customStyle="1" w:styleId="49">
    <w:name w:val="Reference"/>
    <w:basedOn w:val="1"/>
    <w:uiPriority w:val="0"/>
    <w:pPr>
      <w:ind w:left="567" w:hanging="283"/>
    </w:pPr>
    <w:rPr>
      <w:rFonts w:eastAsia="MS Mincho"/>
      <w:sz w:val="20"/>
      <w:lang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679</Words>
  <Characters>3873</Characters>
  <Lines>32</Lines>
  <Paragraphs>9</Paragraphs>
  <TotalTime>633</TotalTime>
  <ScaleCrop>false</ScaleCrop>
  <LinksUpToDate>false</LinksUpToDate>
  <CharactersWithSpaces>4543</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2023-03-03T20:56:00Z</dcterms:created>
  <dc:creator>Shan YANG_2</dc:creator>
  <cp:lastModifiedBy>China Telecom</cp:lastModifiedBy>
  <dcterms:modified xsi:type="dcterms:W3CDTF">2024-02-08T10:01:08Z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y fmtid="{D5CDD505-2E9C-101B-9397-08002B2CF9AE}" pid="7" name="KSOProductBuildVer">
    <vt:lpwstr>2052-6.5.1.8687</vt:lpwstr>
  </property>
  <property fmtid="{D5CDD505-2E9C-101B-9397-08002B2CF9AE}" pid="8" name="ICV">
    <vt:lpwstr>5FFEE3270E6BB018C9A8B965939D4585_42</vt:lpwstr>
  </property>
</Properties>
</file>